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57" w:rsidRPr="00023757" w:rsidRDefault="00023757" w:rsidP="00023757">
      <w:pPr>
        <w:shd w:val="clear" w:color="auto" w:fill="FFFFFF"/>
        <w:spacing w:after="0" w:line="160" w:lineRule="atLeast"/>
        <w:rPr>
          <w:rFonts w:ascii="Arial" w:eastAsia="Times New Roman" w:hAnsi="Arial" w:cs="Arial"/>
          <w:b/>
          <w:bCs/>
          <w:color w:val="000000"/>
          <w:sz w:val="17"/>
          <w:szCs w:val="17"/>
          <w:lang w:eastAsia="it-IT"/>
        </w:rPr>
      </w:pPr>
      <w:r w:rsidRPr="00023757">
        <w:rPr>
          <w:rFonts w:ascii="Arial" w:eastAsia="Times New Roman" w:hAnsi="Arial" w:cs="Arial"/>
          <w:b/>
          <w:bCs/>
          <w:color w:val="000000"/>
          <w:sz w:val="17"/>
          <w:szCs w:val="17"/>
          <w:lang w:eastAsia="it-IT"/>
        </w:rPr>
        <w:t>Decreto Ministeriale n. 99</w:t>
      </w:r>
      <w:r w:rsidRPr="00023757">
        <w:rPr>
          <w:rFonts w:ascii="Arial" w:eastAsia="Times New Roman" w:hAnsi="Arial" w:cs="Arial"/>
          <w:b/>
          <w:bCs/>
          <w:color w:val="000000"/>
          <w:sz w:val="17"/>
          <w:szCs w:val="17"/>
          <w:lang w:eastAsia="it-IT"/>
        </w:rPr>
        <w:br/>
        <w:t>Criteri per l’attribuzione della lode nei corsi di studio di istruzione secondaria superiore e tabelle di attribuzione del credito scolastico</w:t>
      </w:r>
    </w:p>
    <w:p w:rsidR="00023757" w:rsidRPr="00023757" w:rsidRDefault="00023757" w:rsidP="00023757">
      <w:pPr>
        <w:shd w:val="clear" w:color="auto" w:fill="FFFFFF"/>
        <w:spacing w:after="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 </w:t>
      </w:r>
    </w:p>
    <w:p w:rsidR="00023757" w:rsidRPr="00023757" w:rsidRDefault="00023757" w:rsidP="00023757">
      <w:pPr>
        <w:shd w:val="clear" w:color="auto" w:fill="EAEAEA"/>
        <w:spacing w:line="160" w:lineRule="atLeast"/>
        <w:rPr>
          <w:rFonts w:ascii="Arial" w:eastAsia="Times New Roman" w:hAnsi="Arial" w:cs="Arial"/>
          <w:color w:val="000000"/>
          <w:sz w:val="12"/>
          <w:szCs w:val="12"/>
          <w:lang w:eastAsia="it-IT"/>
        </w:rPr>
      </w:pPr>
      <w:hyperlink r:id="rId5" w:anchor="allegati" w:history="1">
        <w:r w:rsidRPr="00023757">
          <w:rPr>
            <w:rFonts w:ascii="Arial" w:eastAsia="Times New Roman" w:hAnsi="Arial" w:cs="Arial"/>
            <w:color w:val="000000"/>
            <w:sz w:val="12"/>
            <w:lang w:eastAsia="it-IT"/>
          </w:rPr>
          <w:t>Allegati</w:t>
        </w:r>
      </w:hyperlink>
    </w:p>
    <w:p w:rsidR="00023757" w:rsidRPr="00023757" w:rsidRDefault="00023757" w:rsidP="00023757">
      <w:pPr>
        <w:shd w:val="clear" w:color="auto" w:fill="FFFFFF"/>
        <w:spacing w:after="240" w:line="160" w:lineRule="atLeast"/>
        <w:jc w:val="center"/>
        <w:rPr>
          <w:rFonts w:ascii="Arial" w:eastAsia="Times New Roman" w:hAnsi="Arial" w:cs="Arial"/>
          <w:color w:val="000000"/>
          <w:sz w:val="12"/>
          <w:szCs w:val="12"/>
          <w:lang w:eastAsia="it-IT"/>
        </w:rPr>
      </w:pPr>
      <w:r w:rsidRPr="00023757">
        <w:rPr>
          <w:rFonts w:ascii="Arial" w:eastAsia="Times New Roman" w:hAnsi="Arial" w:cs="Arial"/>
          <w:b/>
          <w:bCs/>
          <w:color w:val="000000"/>
          <w:sz w:val="12"/>
          <w:szCs w:val="12"/>
          <w:lang w:eastAsia="it-IT"/>
        </w:rPr>
        <w:t>IL MINISTRO DELL’ISTRUZIONE,UNIVERSITA’ E RICERCA</w:t>
      </w:r>
    </w:p>
    <w:p w:rsidR="00023757" w:rsidRPr="00023757" w:rsidRDefault="00023757" w:rsidP="00023757">
      <w:pPr>
        <w:shd w:val="clear" w:color="auto" w:fill="FFFFFF"/>
        <w:spacing w:after="240" w:line="160" w:lineRule="atLeast"/>
        <w:jc w:val="righ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Roma, 16 dicembre 2009</w:t>
      </w:r>
    </w:p>
    <w:p w:rsidR="00023757" w:rsidRPr="00023757" w:rsidRDefault="00023757" w:rsidP="00023757">
      <w:pPr>
        <w:shd w:val="clear" w:color="auto" w:fill="FFFFFF"/>
        <w:spacing w:after="0" w:line="160" w:lineRule="atLeast"/>
        <w:rPr>
          <w:rFonts w:ascii="Arial" w:eastAsia="Times New Roman" w:hAnsi="Arial" w:cs="Arial"/>
          <w:color w:val="000000"/>
          <w:sz w:val="12"/>
          <w:szCs w:val="12"/>
          <w:lang w:eastAsia="it-IT"/>
        </w:rPr>
      </w:pP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Testo Unico, di cui al Decreto Legislativo 16 aprile 1994, n. 297;</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D.L.vo 30 luglio 1999, n. 300, concernente la "Riforma dell'organizzazione del Governo, a norma dell'articolo 11 della legge 15 marzo 1997, n. 59";</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Decreto-legge n. 181 del 18 maggio 2006, convertito, con modificazioni, nella legge n. 233 del 17/7/2006;</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Vista</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la Legge 10 dicembre 1997, n. 425, recante disposizioni per la riforma degli esami di Stato conclusivi dei corsi di studio di istruzione secondaria superiore;</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Vista</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la legge 11 gennaio 2007, n. 1, recante "Disposizioni in materia di esami di Stato conclusivi dei corsi di studio di istruzione secondaria superiore e delega al Governo in materia di raccordo tra la scuola e le università", che sostituisce gli articoli 2, 3 e 4 della legge 10 dicembre 1997, n. 425, in particolare l'art. 1, comma 1;</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Decreto del Presidente della Repubblica del 23 luglio 1998, n. 323, per le parti compatibili con le disposizioni di cui alla legge11-1-2007, n. 1;</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D.M. 22 maggio 2007, n.42, concernente modalità di attribuzione del credito scolastico e di recupero dei debiti formativi nei corsi di studio di istruzione secondaria superiore ed annesse tabelle di attribuzione del credito scolastico;</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D.M. 3 ottobre 2007, n. 80;</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VISTA</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l’O.M. 5 novembre 2007, n. 92</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VISTO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il DPR 22 giugno 2009, n. 122 - Regolamento recante coordinamento delle norme vigenti per la valutazione degli alunni e ulteriori modalità applicative in materia, ai sensi degli articoli 2 e 3 del decreto-legge 1° settembre 2008, n. 137, convertito, con modificazioni, dalla legge 30 ottobre 2008, n. 169, e, in particolare, l’articolo 6;</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TENUTO CONTO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che il DPR n.122 del 22 giugno 2009 è entrato in vigore il giorno 20 agosto 2009; che, pertanto, non è stato possibile dare esecuzione all’art. 14, comma 3, contenente le norme transitorie relative all’ammissione agli esami di Stato degli alunni per abbreviazione per merito, riferite agli anni scolastici 2008/2009, 2009/2010, 2010/2011 per evidente mancanza dei necessari tempi tecnici in relazione allo svolgimento dell’esame di Stato 2008/2009;</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CONSIDERATO</w:t>
      </w:r>
      <w:r w:rsidRPr="00023757">
        <w:rPr>
          <w:rFonts w:ascii="Arial" w:eastAsia="Times New Roman" w:hAnsi="Arial" w:cs="Arial"/>
          <w:color w:val="000000"/>
          <w:sz w:val="12"/>
          <w:szCs w:val="12"/>
          <w:lang w:eastAsia="it-IT"/>
        </w:rPr>
        <w:t>, per quanto sopra esposto, che l’applicazione della normativa transitoria di cui all’articolo 14, comma 3, del citato DPR n. 122/2009, si rende possibile solo a partire dal corrente anno scolastico; di modo che si ritiene che le disposizioni relative agli anni 2008/2009, 2009/2010, 2010/2011, previste nel medesimo comma 3, art. 14 DPR n. 122/2009, si devono intendere rispettivamente riferite agli anni scolastici 2009/2010, 2010/2011, 2011/2012;</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RAVVISATA</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la necessità di modificare le tabelle A,B,C, allegate al citato DM n. 42/2007, già a suo tempo costituenti parte del DPR n. 323 del 23 luglio 1998 e previste dall’art. 11 del medesimo DPR n. 323/1998, modificate dal DM n. 42/2007, al fine di adeguarle alle previsioni del DPR 22 giugno 2009, n. 122 in materia di ammissione alla classe successiva e all’esame conclusivo del secondo ciclo dell’istruzione nonché all’esigenza di recepire nelle medesime la finalità di eccellenza di cui all’introduzione della lode prevista dall’articolo 1, capoverso art. 3, comma 6, della legge 11 gennaio 2007,n. 1;</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b/>
          <w:bCs/>
          <w:color w:val="000000"/>
          <w:sz w:val="12"/>
          <w:lang w:eastAsia="it-IT"/>
        </w:rPr>
        <w:t>RAVVISATA</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t>altresì la necessità di stabilire criteri uniformi per l’attribuzione della lode da parte delle commissioni esaminatrici;</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Decreta</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Art. 1</w:t>
      </w:r>
      <w:r w:rsidRPr="00023757">
        <w:rPr>
          <w:rFonts w:ascii="Arial" w:eastAsia="Times New Roman" w:hAnsi="Arial" w:cs="Arial"/>
          <w:color w:val="000000"/>
          <w:sz w:val="12"/>
          <w:szCs w:val="12"/>
          <w:lang w:eastAsia="it-IT"/>
        </w:rPr>
        <w:br/>
        <w:t>Attribuzione del credito scolastico</w:t>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1.Nell’anno scolastico 2009/2010, la nuova ripartizione dei punteggi del credito scolastico, indicata nelle tabelle allegate al presente decreto, di cui costituiscono parte integrante, si applica nei confronti degli studenti frequentanti il terzultimo anno.</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2. Nell’anno scolastico 2010/2011, l’applicazione si estenderà agli studenti della penultima classe e nell’anno scolastico 2011/2012 riguarderà anche quelli dell’ultima classe.</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Art.2</w:t>
      </w:r>
      <w:r w:rsidRPr="00023757">
        <w:rPr>
          <w:rFonts w:ascii="Arial" w:eastAsia="Times New Roman" w:hAnsi="Arial" w:cs="Arial"/>
          <w:color w:val="000000"/>
          <w:sz w:val="12"/>
          <w:szCs w:val="12"/>
          <w:lang w:eastAsia="it-IT"/>
        </w:rPr>
        <w:br/>
        <w:t>Attribuzione della lode</w:t>
      </w:r>
      <w:r w:rsidRPr="00023757">
        <w:rPr>
          <w:rFonts w:ascii="Arial" w:eastAsia="Times New Roman" w:hAnsi="Arial" w:cs="Arial"/>
          <w:color w:val="000000"/>
          <w:sz w:val="12"/>
          <w:lang w:eastAsia="it-IT"/>
        </w:rPr>
        <w:t> </w:t>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1. Con l’attribuzione della lode, prevista dalla legge 11 gennaio 2007,n. 1 art. 1, capoverso art. 3, comma 6, la commissione di esame attesta il conseguimento di risultati di eccellenza negli ultimi tre anni del percorso scolastico e nelle prove d’esame.</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Art. 3</w:t>
      </w:r>
      <w:r w:rsidRPr="00023757">
        <w:rPr>
          <w:rFonts w:ascii="Arial" w:eastAsia="Times New Roman" w:hAnsi="Arial" w:cs="Arial"/>
          <w:color w:val="000000"/>
          <w:sz w:val="12"/>
          <w:szCs w:val="12"/>
          <w:lang w:eastAsia="it-IT"/>
        </w:rPr>
        <w:br/>
        <w:t>Criteri per l’attribuzione della lode</w:t>
      </w:r>
      <w:r w:rsidRPr="00023757">
        <w:rPr>
          <w:rFonts w:ascii="Arial" w:eastAsia="Times New Roman" w:hAnsi="Arial" w:cs="Arial"/>
          <w:color w:val="000000"/>
          <w:sz w:val="12"/>
          <w:lang w:eastAsia="it-IT"/>
        </w:rPr>
        <w:t> </w:t>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1. La commissione, all’unanimità, può attribuire la lode a coloro che conseguono il punteggio massimo di 100 punti senza fruire della integrazione di cui all’art. 3, comma 6, della legge 10 dicembre 1997, n. 425 e successive modificazioni.</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2. La lode può essere attribuita ai candidati di cui al comma 1 a condizione che: a) abbiano conseguito il credito scolastico massimo complessivo attribuibile senza fruire della integrazione di cui all’art. 11, comma 4, del decreto del Presidente della Repubblica 23 luglio 1998, n. 323; b) abbiano riportato negli scrutini finali relativi alle classi terzultima, penultima e ultima solo voti uguali o superiori a otto decimi, ivi compresa la valutazione del comportamento.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3. Ai fini dell’attribuzione della lode, il credito scolastico annuale relativo al terzultimo, al penultimo e all’ultimo anno nonché il punteggio previsto per ogni prova d’esame devono essere stati attribuiti dal consiglio di classe o dalla commissione, secondo le rispettive competenze, nella misura massima all’unanimità.</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4. Il credito scolastico, nei casi di abbreviazione del corso di studi per merito ai sensi del D.P.R. 22 giugno 2009, n. 122, art. 6, comma 2, è attribuito, per l’anno non frequentato, nella misura massima prevista per lo stesso dalla tabella A, in relazione alla media dei voti conseguita nel penultimo anno.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lastRenderedPageBreak/>
        <w:br/>
        <w:t>5. La commissione può attribuire la lode ai candidati di cui al D.P.R. 22 giugno 2009, n. 122, art. 6, comma 2 che conseguano il punteggio massimo di 100 punti senza fruire della integrazione di cui all’art. 3, comma 6, della legge 10 dicembre 1997, n. 425 e successive modificazioni.</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6. La lode può essere attribuita ai candidati di cui al comma 5 a condizione che: a) abbiano conseguito il credito scolastico massimo complessivo attribuibile senza fruire della integrazione di cui all’art. 11, comma 4, del decreto del Presidente della Repubblica 23 luglio 1998, n. 323; b) abbiano riportato negli scrutini finali relativi ai due anni antecedenti il penultimo solo voti uguali o superiori a otto decimi, ivi compresa la valutazione del comportamento.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7. Ai fini dell’attribuzione della lode ai candidati di cui al comma 5, il credito scolastico annuale relativo al terzultimo e al penultimo anno nonché il punteggio previsto per ogni prova d’esame devono essere stati attribuiti dal consiglio di classe o dalla commissione, secondo le rispettive competenze, nella misura massima all’unanimità.</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p>
    <w:p w:rsidR="00023757" w:rsidRPr="00023757" w:rsidRDefault="00023757" w:rsidP="00023757">
      <w:pPr>
        <w:shd w:val="clear" w:color="auto" w:fill="FFFFFF"/>
        <w:spacing w:after="24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Art. 4</w:t>
      </w:r>
      <w:r w:rsidRPr="00023757">
        <w:rPr>
          <w:rFonts w:ascii="Arial" w:eastAsia="Times New Roman" w:hAnsi="Arial" w:cs="Arial"/>
          <w:color w:val="000000"/>
          <w:sz w:val="12"/>
          <w:szCs w:val="12"/>
          <w:lang w:eastAsia="it-IT"/>
        </w:rPr>
        <w:br/>
        <w:t>Norme transitorie</w:t>
      </w:r>
      <w:r w:rsidRPr="00023757">
        <w:rPr>
          <w:rFonts w:ascii="Arial" w:eastAsia="Times New Roman" w:hAnsi="Arial" w:cs="Arial"/>
          <w:color w:val="000000"/>
          <w:sz w:val="12"/>
          <w:lang w:eastAsia="it-IT"/>
        </w:rPr>
        <w:t> </w:t>
      </w:r>
    </w:p>
    <w:p w:rsidR="00023757" w:rsidRPr="00023757" w:rsidRDefault="00023757" w:rsidP="00023757">
      <w:pPr>
        <w:shd w:val="clear" w:color="auto" w:fill="FFFFFF"/>
        <w:spacing w:after="0" w:line="160" w:lineRule="atLeast"/>
        <w:rPr>
          <w:rFonts w:ascii="Arial" w:eastAsia="Times New Roman" w:hAnsi="Arial" w:cs="Arial"/>
          <w:color w:val="000000"/>
          <w:sz w:val="12"/>
          <w:szCs w:val="12"/>
          <w:lang w:eastAsia="it-IT"/>
        </w:rPr>
      </w:pPr>
      <w:r w:rsidRPr="00023757">
        <w:rPr>
          <w:rFonts w:ascii="Arial" w:eastAsia="Times New Roman" w:hAnsi="Arial" w:cs="Arial"/>
          <w:color w:val="000000"/>
          <w:sz w:val="12"/>
          <w:szCs w:val="12"/>
          <w:lang w:eastAsia="it-IT"/>
        </w:rPr>
        <w:t>1. Relativamente ai candidati agli esami conclusivi del secondo ciclo di istruzione a conclusione dell’anno scolastico 2009/2010, la commissione può attribuire la lode a coloro che conseguono il punteggio massimo di 100 punti senza fruire della integrazione di cui all’art. 3, comma 6, della legge 10 dicembre 1997, n. 425 e successive modificazioni, a condizione che: a) abbiano conseguito il credito scolastico massimo complessivo attribuibile senza fruire della integrazione di cui all’art. 11, comma 4, del decreto del Presidente della Repubblica 23 luglio 1998, n. 323; b) abbiano riportato negli scrutini finali relativi all’ultima classe solo voti uguali o superiori a otto decimi, ivi compresa la valutazione del comportamento. Sempre relativamente ai candidati agli esami conclusivi del secondo ciclo di istruzione a conclusione dell’anno scolastico 2009/2010, ai fini dell’attribuzione della lode, il credito scolastico annuale relativo all’ultimo anno nonché il punteggio previsto per ogni prova d’esame devono essere stati attribuiti dal consiglio di classe o dalla commissione, secondo le rispettive competenze, nella misura massima all’unanimità.</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2. Relativamente ai candidati agli esami conclusivi del secondo ciclo di istruzione a conclusione dell’anno scolastico 2010/2011, la commissione può attribuire la lode a coloro che conseguono il punteggio massimo di 100 punti senza fruire della integrazione di cui all’art. 3, comma 6, della legge 10 dicembre 1997, n. 425 e successive modificazioni, a condizione che abbiano conseguito il credito scolastico massimo complessivo attribuibile senza fruire della integrazione di cui all’art. 11, comma 4, del decreto del Presidente della Repubblica 23 luglio 1998, n. 323; b) abbiano riportato negli scrutini finali relativi alla penultima e all’ultima classe solo voti uguali o superiori a otto decimi, ivi compresa la valutazione del comportamento. Sempre relativamente ai candidati agli esami conclusivi del secondo ciclo di istruzione a conclusione dell’anno scolastico 2010/2011, ai fini dell’attribuzione della lode, il credito scolastico annuale relativo al penultimo e all’ultimo anno nonché il punteggio previsto per ogni prova d’esame devono essere stati attribuiti dal consiglio di classe o dalla commissione, secondo le rispettive competenze, nella misura massima all’unanimità.</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 xml:space="preserve">3. Nei casi di abbreviazione del corso di studi per merito ai sensi del D.P.R. 22 giugno 2009, n. 122, art. 6, comma 2, relativamente ai candidati che sostengono gli esami conclusivi del secondo ciclo di istruzione a conclusione dell’anno scolastico 2009/2010, la commissione può attribuire la lode a coloro che conseguono il punteggio massimo di 100 punti senza fruire della integrazione di cui all’art. 3, comma 6, della legge 10 dicembre 1997, n. 425 e successive modificazioni, a condizione che abbiano conseguito il credito scolastico massimo complessivo attribuibile senza fruire della integrazione di cui all’art. 11, comma 4, del decreto del Presidente della Repubblica 23 luglio 1998, n. 323. Il voto di comportamento viene valutato con riferimento esclusivo al penultimo anno di corso. Sempre relativamente ai candidati </w:t>
      </w:r>
      <w:proofErr w:type="spellStart"/>
      <w:r w:rsidRPr="00023757">
        <w:rPr>
          <w:rFonts w:ascii="Arial" w:eastAsia="Times New Roman" w:hAnsi="Arial" w:cs="Arial"/>
          <w:color w:val="000000"/>
          <w:sz w:val="12"/>
          <w:szCs w:val="12"/>
          <w:lang w:eastAsia="it-IT"/>
        </w:rPr>
        <w:t>anticipatari</w:t>
      </w:r>
      <w:proofErr w:type="spellEnd"/>
      <w:r w:rsidRPr="00023757">
        <w:rPr>
          <w:rFonts w:ascii="Arial" w:eastAsia="Times New Roman" w:hAnsi="Arial" w:cs="Arial"/>
          <w:color w:val="000000"/>
          <w:sz w:val="12"/>
          <w:szCs w:val="12"/>
          <w:lang w:eastAsia="it-IT"/>
        </w:rPr>
        <w:t xml:space="preserve"> per merito che sostengono gli esami conclusivi del secondo ciclo di istruzione a conclusione dell’anno scolastico 2009/2010, ai fini dell’attribuzione della lode, il credito scolastico annuale relativo al penultimo anno nonché il punteggio previsto per ogni prova d’esame devono essere stati attribuiti dal consiglio di classe o dalla commissione, secondo le rispettive competenze, nella misura massima all’unanimità.</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 xml:space="preserve">4. Nei casi di abbreviazione del corso di studi per merito ai sensi del D.P.R. 22 giugno 2009, n. 122, art. 6, comma 2, relativamente ai candidati che sostengono gli esami conclusivi del secondo ciclo di istruzione a conclusione dell’anno scolastico 2010/2011, la commissione può attribuire la lode a coloro che conseguono il punteggio massimo di 100 punti senza fruire della integrazione di cui all’art. 3, comma 6, della legge 10 dicembre 1997, n. 425 e successive modificazioni, a condizione che: a) abbiano conseguito il credito scolastico massimo complessivo attribuibile senza fruire della integrazione di cui all’art. 11, comma 4, del decreto del Presidente della Repubblica 23 luglio 1998, n. 323; b) abbiano riportato negli scrutini finali relativi alla terzultima e alla penultima classe solo voti uguali o superiori a otto decimi, ivi compresa la valutazione del comportamento. Sempre relativamente ai candidati </w:t>
      </w:r>
      <w:proofErr w:type="spellStart"/>
      <w:r w:rsidRPr="00023757">
        <w:rPr>
          <w:rFonts w:ascii="Arial" w:eastAsia="Times New Roman" w:hAnsi="Arial" w:cs="Arial"/>
          <w:color w:val="000000"/>
          <w:sz w:val="12"/>
          <w:szCs w:val="12"/>
          <w:lang w:eastAsia="it-IT"/>
        </w:rPr>
        <w:t>anticipatari</w:t>
      </w:r>
      <w:proofErr w:type="spellEnd"/>
      <w:r w:rsidRPr="00023757">
        <w:rPr>
          <w:rFonts w:ascii="Arial" w:eastAsia="Times New Roman" w:hAnsi="Arial" w:cs="Arial"/>
          <w:color w:val="000000"/>
          <w:sz w:val="12"/>
          <w:szCs w:val="12"/>
          <w:lang w:eastAsia="it-IT"/>
        </w:rPr>
        <w:t xml:space="preserve"> per merito che sostengono gli esami conclusivi del secondo ciclo di istruzione a conclusione dell’anno scolastico 2010/2011, ai fini dell’attribuzione della lode, il credito scolastico annuale relativo al terzultimo e al penultimo anno nonché il punteggio previsto per ogni prova d’esame devono essere stati attribuiti dal consiglio di classe o dalla commissione, secondo le rispettive competenze, nella misura massima all’unanimità.</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 xml:space="preserve">5. Ai fini della attribuzione del credito scolastico, nei confronti dei candidati </w:t>
      </w:r>
      <w:proofErr w:type="spellStart"/>
      <w:r w:rsidRPr="00023757">
        <w:rPr>
          <w:rFonts w:ascii="Arial" w:eastAsia="Times New Roman" w:hAnsi="Arial" w:cs="Arial"/>
          <w:color w:val="000000"/>
          <w:sz w:val="12"/>
          <w:szCs w:val="12"/>
          <w:lang w:eastAsia="it-IT"/>
        </w:rPr>
        <w:t>anticipatari</w:t>
      </w:r>
      <w:proofErr w:type="spellEnd"/>
      <w:r w:rsidRPr="00023757">
        <w:rPr>
          <w:rFonts w:ascii="Arial" w:eastAsia="Times New Roman" w:hAnsi="Arial" w:cs="Arial"/>
          <w:color w:val="000000"/>
          <w:sz w:val="12"/>
          <w:szCs w:val="12"/>
          <w:lang w:eastAsia="it-IT"/>
        </w:rPr>
        <w:t xml:space="preserve"> per merito di cui al comma 3 si applica la tabella A allegata al D.M. n. 42/2007; nei confronti dei candidati </w:t>
      </w:r>
      <w:proofErr w:type="spellStart"/>
      <w:r w:rsidRPr="00023757">
        <w:rPr>
          <w:rFonts w:ascii="Arial" w:eastAsia="Times New Roman" w:hAnsi="Arial" w:cs="Arial"/>
          <w:color w:val="000000"/>
          <w:sz w:val="12"/>
          <w:szCs w:val="12"/>
          <w:lang w:eastAsia="it-IT"/>
        </w:rPr>
        <w:t>anticipatari</w:t>
      </w:r>
      <w:proofErr w:type="spellEnd"/>
      <w:r w:rsidRPr="00023757">
        <w:rPr>
          <w:rFonts w:ascii="Arial" w:eastAsia="Times New Roman" w:hAnsi="Arial" w:cs="Arial"/>
          <w:color w:val="000000"/>
          <w:sz w:val="12"/>
          <w:szCs w:val="12"/>
          <w:lang w:eastAsia="it-IT"/>
        </w:rPr>
        <w:t xml:space="preserve"> per merito di cui al comma 4 si applica la tabella A allegata al presente decreto.</w:t>
      </w:r>
      <w:r w:rsidRPr="00023757">
        <w:rPr>
          <w:rFonts w:ascii="Arial" w:eastAsia="Times New Roman" w:hAnsi="Arial" w:cs="Arial"/>
          <w:color w:val="000000"/>
          <w:sz w:val="12"/>
          <w:lang w:eastAsia="it-IT"/>
        </w:rPr>
        <w:t> </w:t>
      </w:r>
      <w:r w:rsidRPr="00023757">
        <w:rPr>
          <w:rFonts w:ascii="Arial" w:eastAsia="Times New Roman" w:hAnsi="Arial" w:cs="Arial"/>
          <w:color w:val="000000"/>
          <w:sz w:val="12"/>
          <w:szCs w:val="12"/>
          <w:lang w:eastAsia="it-IT"/>
        </w:rPr>
        <w:br/>
      </w:r>
      <w:r w:rsidRPr="00023757">
        <w:rPr>
          <w:rFonts w:ascii="Arial" w:eastAsia="Times New Roman" w:hAnsi="Arial" w:cs="Arial"/>
          <w:color w:val="000000"/>
          <w:sz w:val="12"/>
          <w:szCs w:val="12"/>
          <w:lang w:eastAsia="it-IT"/>
        </w:rPr>
        <w:br/>
        <w:t xml:space="preserve">6. Ai fini dell’attribuzione della lode, i candidati </w:t>
      </w:r>
      <w:proofErr w:type="spellStart"/>
      <w:r w:rsidRPr="00023757">
        <w:rPr>
          <w:rFonts w:ascii="Arial" w:eastAsia="Times New Roman" w:hAnsi="Arial" w:cs="Arial"/>
          <w:color w:val="000000"/>
          <w:sz w:val="12"/>
          <w:szCs w:val="12"/>
          <w:lang w:eastAsia="it-IT"/>
        </w:rPr>
        <w:t>anticipatari</w:t>
      </w:r>
      <w:proofErr w:type="spellEnd"/>
      <w:r w:rsidRPr="00023757">
        <w:rPr>
          <w:rFonts w:ascii="Arial" w:eastAsia="Times New Roman" w:hAnsi="Arial" w:cs="Arial"/>
          <w:color w:val="000000"/>
          <w:sz w:val="12"/>
          <w:szCs w:val="12"/>
          <w:lang w:eastAsia="it-IT"/>
        </w:rPr>
        <w:t xml:space="preserve"> per merito che sostengono gli esami conclusivi del secondo ciclo di istruzione a conclusione dell’anno scolastico 2011-2012 (a regime), oltre alle condizioni di cui al comma 4, devono avere riportato il voto di otto o superiore in ciascuna disciplina, ivi compresa la valutazione del comportamento, anche nei due anni antecedenti il penultimo.</w:t>
      </w:r>
    </w:p>
    <w:p w:rsidR="00023757" w:rsidRPr="00023757" w:rsidRDefault="00023757" w:rsidP="00023757">
      <w:pPr>
        <w:shd w:val="clear" w:color="auto" w:fill="FFFFFF"/>
        <w:spacing w:after="240" w:line="160" w:lineRule="atLeast"/>
        <w:jc w:val="right"/>
        <w:rPr>
          <w:rFonts w:ascii="Arial" w:eastAsia="Times New Roman" w:hAnsi="Arial" w:cs="Arial"/>
          <w:color w:val="000000"/>
          <w:sz w:val="12"/>
          <w:szCs w:val="12"/>
          <w:lang w:eastAsia="it-IT"/>
        </w:rPr>
      </w:pPr>
      <w:r w:rsidRPr="00023757">
        <w:rPr>
          <w:rFonts w:ascii="Arial" w:eastAsia="Times New Roman" w:hAnsi="Arial" w:cs="Arial"/>
          <w:b/>
          <w:bCs/>
          <w:color w:val="000000"/>
          <w:sz w:val="12"/>
          <w:lang w:eastAsia="it-IT"/>
        </w:rPr>
        <w:t>IL MINISTRO</w:t>
      </w:r>
      <w:r w:rsidRPr="00023757">
        <w:rPr>
          <w:rFonts w:ascii="Arial" w:eastAsia="Times New Roman" w:hAnsi="Arial" w:cs="Arial"/>
          <w:color w:val="000000"/>
          <w:sz w:val="12"/>
          <w:szCs w:val="12"/>
          <w:lang w:eastAsia="it-IT"/>
        </w:rPr>
        <w:br/>
        <w:t>MARIASTELLA GELMINI</w:t>
      </w:r>
    </w:p>
    <w:p w:rsidR="0042744C" w:rsidRDefault="00023757" w:rsidP="00AA3AD3">
      <w:pPr>
        <w:spacing w:after="0" w:line="240" w:lineRule="auto"/>
        <w:rPr>
          <w:rFonts w:ascii="Times New Roman" w:hAnsi="Times New Roman" w:cs="Times New Roman"/>
          <w:sz w:val="24"/>
          <w:szCs w:val="24"/>
        </w:rPr>
      </w:pPr>
    </w:p>
    <w:sectPr w:rsidR="0042744C" w:rsidSect="008C0F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09D"/>
    <w:multiLevelType w:val="hybridMultilevel"/>
    <w:tmpl w:val="B762D210"/>
    <w:lvl w:ilvl="0" w:tplc="378C7A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757"/>
    <w:rsid w:val="00023757"/>
    <w:rsid w:val="00365B2F"/>
    <w:rsid w:val="00632150"/>
    <w:rsid w:val="008C0FC0"/>
    <w:rsid w:val="00944420"/>
    <w:rsid w:val="00AA3AD3"/>
    <w:rsid w:val="00BF3B57"/>
    <w:rsid w:val="00C16FD6"/>
    <w:rsid w:val="00C87DE7"/>
    <w:rsid w:val="00D45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F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mes-personale">
    <w:name w:val="Times - personale"/>
    <w:basedOn w:val="Normale"/>
    <w:qFormat/>
    <w:rsid w:val="00C16FD6"/>
    <w:pPr>
      <w:spacing w:after="0" w:line="240" w:lineRule="auto"/>
    </w:pPr>
    <w:rPr>
      <w:rFonts w:ascii="Times New Roman" w:eastAsia="Times New Roman" w:hAnsi="Times New Roman"/>
      <w:color w:val="000000"/>
      <w:sz w:val="24"/>
      <w:szCs w:val="11"/>
    </w:rPr>
  </w:style>
  <w:style w:type="character" w:styleId="Collegamentoipertestuale">
    <w:name w:val="Hyperlink"/>
    <w:basedOn w:val="Carpredefinitoparagrafo"/>
    <w:uiPriority w:val="99"/>
    <w:semiHidden/>
    <w:unhideWhenUsed/>
    <w:rsid w:val="00023757"/>
    <w:rPr>
      <w:color w:val="0000FF"/>
      <w:u w:val="single"/>
    </w:rPr>
  </w:style>
  <w:style w:type="paragraph" w:styleId="NormaleWeb">
    <w:name w:val="Normal (Web)"/>
    <w:basedOn w:val="Normale"/>
    <w:uiPriority w:val="99"/>
    <w:semiHidden/>
    <w:unhideWhenUsed/>
    <w:rsid w:val="000237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3757"/>
    <w:rPr>
      <w:b/>
      <w:bCs/>
    </w:rPr>
  </w:style>
  <w:style w:type="character" w:customStyle="1" w:styleId="apple-converted-space">
    <w:name w:val="apple-converted-space"/>
    <w:basedOn w:val="Carpredefinitoparagrafo"/>
    <w:rsid w:val="00023757"/>
  </w:style>
</w:styles>
</file>

<file path=word/webSettings.xml><?xml version="1.0" encoding="utf-8"?>
<w:webSettings xmlns:r="http://schemas.openxmlformats.org/officeDocument/2006/relationships" xmlns:w="http://schemas.openxmlformats.org/wordprocessingml/2006/main">
  <w:divs>
    <w:div w:id="352466284">
      <w:bodyDiv w:val="1"/>
      <w:marLeft w:val="0"/>
      <w:marRight w:val="0"/>
      <w:marTop w:val="0"/>
      <w:marBottom w:val="0"/>
      <w:divBdr>
        <w:top w:val="none" w:sz="0" w:space="0" w:color="auto"/>
        <w:left w:val="none" w:sz="0" w:space="0" w:color="auto"/>
        <w:bottom w:val="none" w:sz="0" w:space="0" w:color="auto"/>
        <w:right w:val="none" w:sz="0" w:space="0" w:color="auto"/>
      </w:divBdr>
      <w:divsChild>
        <w:div w:id="114102855">
          <w:marLeft w:val="0"/>
          <w:marRight w:val="0"/>
          <w:marTop w:val="0"/>
          <w:marBottom w:val="0"/>
          <w:divBdr>
            <w:top w:val="none" w:sz="0" w:space="0" w:color="auto"/>
            <w:left w:val="none" w:sz="0" w:space="0" w:color="auto"/>
            <w:bottom w:val="none" w:sz="0" w:space="0" w:color="auto"/>
            <w:right w:val="none" w:sz="0" w:space="0" w:color="auto"/>
          </w:divBdr>
          <w:divsChild>
            <w:div w:id="2022706037">
              <w:marLeft w:val="0"/>
              <w:marRight w:val="0"/>
              <w:marTop w:val="0"/>
              <w:marBottom w:val="0"/>
              <w:divBdr>
                <w:top w:val="none" w:sz="0" w:space="0" w:color="auto"/>
                <w:left w:val="none" w:sz="0" w:space="0" w:color="auto"/>
                <w:bottom w:val="none" w:sz="0" w:space="0" w:color="auto"/>
                <w:right w:val="none" w:sz="0" w:space="0" w:color="auto"/>
              </w:divBdr>
            </w:div>
          </w:divsChild>
        </w:div>
        <w:div w:id="1639190053">
          <w:marLeft w:val="0"/>
          <w:marRight w:val="0"/>
          <w:marTop w:val="0"/>
          <w:marBottom w:val="200"/>
          <w:divBdr>
            <w:top w:val="none" w:sz="0" w:space="0" w:color="auto"/>
            <w:left w:val="none" w:sz="0" w:space="0" w:color="auto"/>
            <w:bottom w:val="none" w:sz="0" w:space="0" w:color="auto"/>
            <w:right w:val="none" w:sz="0" w:space="0" w:color="auto"/>
          </w:divBdr>
          <w:divsChild>
            <w:div w:id="1257983471">
              <w:marLeft w:val="0"/>
              <w:marRight w:val="0"/>
              <w:marTop w:val="0"/>
              <w:marBottom w:val="0"/>
              <w:divBdr>
                <w:top w:val="none" w:sz="0" w:space="0" w:color="auto"/>
                <w:left w:val="none" w:sz="0" w:space="0" w:color="auto"/>
                <w:bottom w:val="none" w:sz="0" w:space="0" w:color="auto"/>
                <w:right w:val="none" w:sz="0" w:space="0" w:color="auto"/>
              </w:divBdr>
            </w:div>
          </w:divsChild>
        </w:div>
        <w:div w:id="94407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ubmiur.pubblica.istruzione.it/web/istruzione/dm99_0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1902</Words>
  <Characters>10842</Characters>
  <Application>Microsoft Office Word</Application>
  <DocSecurity>0</DocSecurity>
  <Lines>90</Lines>
  <Paragraphs>25</Paragraphs>
  <ScaleCrop>false</ScaleCrop>
  <Company>Giuseppe Tudisco</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dc:creator>
  <cp:keywords/>
  <dc:description/>
  <cp:lastModifiedBy>pino</cp:lastModifiedBy>
  <cp:revision>1</cp:revision>
  <dcterms:created xsi:type="dcterms:W3CDTF">2013-05-01T09:57:00Z</dcterms:created>
  <dcterms:modified xsi:type="dcterms:W3CDTF">2013-05-01T09:58:00Z</dcterms:modified>
</cp:coreProperties>
</file>